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8" w:rsidRDefault="00C92EA8" w:rsidP="00C92EA8">
      <w:pPr>
        <w:spacing w:line="560" w:lineRule="exact"/>
        <w:jc w:val="left"/>
        <w:rPr>
          <w:rFonts w:ascii="黑体" w:eastAsia="黑体" w:hAnsi="黑体" w:cs="仿宋_GB2312"/>
          <w:spacing w:val="0"/>
          <w:sz w:val="24"/>
          <w:szCs w:val="24"/>
        </w:rPr>
      </w:pPr>
      <w:r>
        <w:rPr>
          <w:rFonts w:ascii="黑体" w:eastAsia="黑体" w:hAnsi="黑体" w:cs="仿宋_GB2312" w:hint="eastAsia"/>
          <w:spacing w:val="0"/>
          <w:sz w:val="24"/>
          <w:szCs w:val="24"/>
        </w:rPr>
        <w:t>附件1</w:t>
      </w:r>
      <w:r w:rsidR="0071304B">
        <w:rPr>
          <w:rFonts w:ascii="黑体" w:eastAsia="黑体" w:hAnsi="黑体" w:cs="仿宋_GB2312"/>
          <w:spacing w:val="0"/>
          <w:sz w:val="24"/>
          <w:szCs w:val="24"/>
        </w:rPr>
        <w:t>-1</w:t>
      </w:r>
      <w:bookmarkStart w:id="0" w:name="_GoBack"/>
      <w:bookmarkEnd w:id="0"/>
    </w:p>
    <w:p w:rsidR="00C92EA8" w:rsidRDefault="00C92EA8" w:rsidP="00C92EA8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宋体"/>
          <w:b/>
          <w:kern w:val="0"/>
          <w:lang w:bidi="ar"/>
        </w:rPr>
      </w:pPr>
      <w:r>
        <w:rPr>
          <w:rFonts w:ascii="宋体" w:eastAsia="宋体" w:hAnsi="宋体" w:cs="宋体" w:hint="eastAsia"/>
          <w:b/>
          <w:kern w:val="0"/>
          <w:lang w:bidi="ar"/>
        </w:rPr>
        <w:t>西安石油大学硕士研究生学业奖学金管理办法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宋体"/>
          <w:b/>
          <w:kern w:val="0"/>
          <w:lang w:bidi="ar"/>
        </w:rPr>
      </w:pPr>
      <w:r>
        <w:rPr>
          <w:rFonts w:ascii="宋体" w:eastAsia="宋体" w:hAnsi="宋体" w:cs="宋体" w:hint="eastAsia"/>
          <w:b/>
          <w:kern w:val="0"/>
          <w:lang w:bidi="ar"/>
        </w:rPr>
        <w:t>（</w:t>
      </w:r>
      <w:r w:rsidRPr="00335FBA">
        <w:rPr>
          <w:rFonts w:ascii="宋体" w:eastAsia="宋体" w:hAnsi="宋体" w:cs="宋体" w:hint="eastAsia"/>
          <w:b/>
          <w:kern w:val="0"/>
          <w:lang w:bidi="ar"/>
        </w:rPr>
        <w:t>西石研[2017]20</w:t>
      </w:r>
      <w:r>
        <w:rPr>
          <w:rFonts w:ascii="宋体" w:eastAsia="宋体" w:hAnsi="宋体" w:cs="宋体"/>
          <w:b/>
          <w:kern w:val="0"/>
          <w:lang w:bidi="ar"/>
        </w:rPr>
        <w:t>8</w:t>
      </w:r>
      <w:r w:rsidRPr="00335FBA">
        <w:rPr>
          <w:rFonts w:ascii="宋体" w:eastAsia="宋体" w:hAnsi="宋体" w:cs="宋体" w:hint="eastAsia"/>
          <w:b/>
          <w:kern w:val="0"/>
          <w:lang w:bidi="ar"/>
        </w:rPr>
        <w:t>号</w:t>
      </w:r>
      <w:r>
        <w:rPr>
          <w:rFonts w:ascii="宋体" w:eastAsia="宋体" w:hAnsi="宋体" w:cs="宋体" w:hint="eastAsia"/>
          <w:b/>
          <w:kern w:val="0"/>
          <w:lang w:bidi="ar"/>
        </w:rPr>
        <w:t>，节选）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rPr>
          <w:rFonts w:hAnsi="宋体"/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第四条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学业奖学金适用范围：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="480"/>
        <w:rPr>
          <w:rFonts w:hAnsi="宋体"/>
          <w:kern w:val="0"/>
        </w:rPr>
      </w:pPr>
      <w:r>
        <w:rPr>
          <w:rFonts w:ascii="Times New Roman" w:eastAsia="宋体" w:hAnsi="宋体"/>
          <w:kern w:val="0"/>
          <w:sz w:val="24"/>
          <w:szCs w:val="24"/>
          <w:lang w:bidi="ar"/>
        </w:rPr>
        <w:t>1</w:t>
      </w:r>
      <w:r>
        <w:rPr>
          <w:rFonts w:ascii="宋体" w:eastAsia="宋体" w:cs="宋体" w:hint="eastAsia"/>
          <w:kern w:val="0"/>
          <w:sz w:val="24"/>
          <w:szCs w:val="24"/>
          <w:lang w:bidi="ar"/>
        </w:rPr>
        <w:t>.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纳入全国研究生招生计划、具有中华人民共和国国籍，且在基本修业年限内的非定向培养的全日制在校研究生，不包括非全脱产学习、有固定工资收入、入学时档案人事关系未全部转入我校的研究生。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kern w:val="0"/>
        </w:rPr>
      </w:pPr>
      <w:r>
        <w:rPr>
          <w:rFonts w:ascii="Times New Roman" w:eastAsia="宋体" w:hAnsi="宋体"/>
          <w:kern w:val="0"/>
          <w:sz w:val="24"/>
          <w:szCs w:val="24"/>
          <w:lang w:bidi="ar"/>
        </w:rPr>
        <w:t>2</w:t>
      </w:r>
      <w:r>
        <w:rPr>
          <w:rFonts w:ascii="宋体" w:eastAsia="宋体" w:cs="宋体" w:hint="eastAsia"/>
          <w:kern w:val="0"/>
          <w:sz w:val="24"/>
          <w:szCs w:val="24"/>
          <w:lang w:bidi="ar"/>
        </w:rPr>
        <w:t>.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在基本修业年限内，经学校认定的出国（境）学习或境内校际交流学习的研究生，仍具备学业奖学金参评资格。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jc w:val="left"/>
        <w:rPr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第五条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研究生一年级新生奖学金分为三部分：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="480"/>
        <w:jc w:val="left"/>
        <w:rPr>
          <w:rFonts w:hAnsi="宋体"/>
          <w:kern w:val="0"/>
        </w:rPr>
      </w:pPr>
      <w:r>
        <w:rPr>
          <w:rFonts w:ascii="Times New Roman" w:eastAsia="宋体" w:hAnsi="宋体"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．推免生奖学金标准：一等奖学金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18000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</w:t>
      </w:r>
      <w:r>
        <w:rPr>
          <w:rFonts w:ascii="Times New Roman" w:eastAsia="宋体"/>
          <w:kern w:val="0"/>
          <w:sz w:val="24"/>
          <w:szCs w:val="24"/>
          <w:lang w:bidi="ar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生；二等奖学金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13000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</w:t>
      </w:r>
      <w:r>
        <w:rPr>
          <w:rFonts w:ascii="Times New Roman" w:eastAsia="宋体"/>
          <w:kern w:val="0"/>
          <w:sz w:val="24"/>
          <w:szCs w:val="24"/>
          <w:lang w:bidi="ar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生。</w:t>
      </w:r>
    </w:p>
    <w:p w:rsidR="00C92EA8" w:rsidRDefault="00C92EA8" w:rsidP="00C92EA8">
      <w:pPr>
        <w:spacing w:line="400" w:lineRule="exact"/>
        <w:ind w:firstLineChars="200" w:firstLine="472"/>
        <w:rPr>
          <w:rFonts w:hAnsi="宋体"/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．优研计划奖学金标准：以《西安石油大学</w:t>
      </w:r>
      <w:r>
        <w:rPr>
          <w:rFonts w:ascii="Times New Roman" w:eastAsia="宋体" w:hAnsi="宋体" w:cs="宋体" w:hint="eastAsia"/>
          <w:kern w:val="0"/>
          <w:sz w:val="24"/>
          <w:szCs w:val="24"/>
          <w:lang w:bidi="ar"/>
        </w:rPr>
        <w:t>“优秀硕士研究生生源选拔计划”管理办法（试行）》（西石大研〔</w:t>
      </w:r>
      <w:r>
        <w:rPr>
          <w:rFonts w:ascii="Times New Roman" w:eastAsia="宋体"/>
          <w:kern w:val="0"/>
          <w:sz w:val="24"/>
          <w:szCs w:val="24"/>
          <w:lang w:bidi="ar"/>
        </w:rPr>
        <w:t>2016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〕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148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号）文件为准。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kern w:val="0"/>
        </w:rPr>
      </w:pPr>
      <w:r>
        <w:rPr>
          <w:rFonts w:ascii="Times New Roman" w:eastAsia="宋体" w:hAnsi="宋体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．其他新生奖学金标准：一等奖学金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10000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</w:t>
      </w:r>
      <w:r>
        <w:rPr>
          <w:rFonts w:ascii="Times New Roman" w:eastAsia="宋体"/>
          <w:kern w:val="0"/>
          <w:sz w:val="24"/>
          <w:szCs w:val="24"/>
          <w:lang w:bidi="ar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生；二等奖学金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8000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</w:t>
      </w:r>
      <w:r>
        <w:rPr>
          <w:rFonts w:ascii="Times New Roman" w:eastAsia="宋体"/>
          <w:kern w:val="0"/>
          <w:sz w:val="24"/>
          <w:szCs w:val="24"/>
          <w:lang w:bidi="ar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生。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jc w:val="left"/>
        <w:rPr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第六条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研究生二、三年级学生学业奖学金设三个等级：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kern w:val="0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一等学业奖学金奖励金额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10000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元，覆盖比例不超过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 20%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；二等学业奖学金奖励金额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8000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元，覆盖比例不超过</w:t>
      </w:r>
      <w:r>
        <w:rPr>
          <w:rFonts w:ascii="Times New Roman" w:eastAsia="宋体"/>
          <w:kern w:val="0"/>
          <w:sz w:val="24"/>
          <w:szCs w:val="24"/>
          <w:lang w:bidi="ar"/>
        </w:rPr>
        <w:t>30%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；三等学业奖学金奖励金额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6000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元，覆盖比例不超过</w:t>
      </w:r>
      <w:r>
        <w:rPr>
          <w:rFonts w:ascii="Times New Roman" w:eastAsia="宋体"/>
          <w:kern w:val="0"/>
          <w:sz w:val="24"/>
          <w:szCs w:val="24"/>
          <w:lang w:bidi="ar"/>
        </w:rPr>
        <w:t>30%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rPr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第七条</w:t>
      </w:r>
      <w:r>
        <w:rPr>
          <w:rFonts w:ascii="Times New Roman" w:eastAsia="宋体" w:hAnsi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推免生和</w:t>
      </w:r>
      <w:r>
        <w:rPr>
          <w:rFonts w:ascii="Times New Roman" w:eastAsia="宋体" w:hAnsi="宋体" w:cs="宋体" w:hint="eastAsia"/>
          <w:kern w:val="0"/>
          <w:sz w:val="24"/>
          <w:szCs w:val="24"/>
          <w:lang w:bidi="ar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一流大学</w:t>
      </w:r>
      <w:r>
        <w:rPr>
          <w:rFonts w:ascii="Times New Roman" w:eastAsia="宋体" w:hAnsi="宋体" w:cs="宋体" w:hint="eastAsia"/>
          <w:kern w:val="0"/>
          <w:sz w:val="24"/>
          <w:szCs w:val="24"/>
          <w:lang w:bidi="ar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建设高校一志愿考生，入学第二、第三学年学业、学术及社会实践方面成果符合本办法第十条，没有违规违纪行为，均可获得一等学业奖学金。上述学生指标单列，不计入培养院（系）一等学业奖学金比例和研究生总数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jc w:val="left"/>
        <w:rPr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第八条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学业奖学金基本申请条件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．热爱社会主义祖国，拥护中国共产党的领导；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．遵守宪法和法律，遵守高等学校规章制度；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．诚实守信，品学兼优；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．积极参与科学研究和社会实践。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jc w:val="left"/>
        <w:rPr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第九条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研究生一年级新生奖学金依据研究生入学情况进行评定：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="480"/>
        <w:rPr>
          <w:rFonts w:hAnsi="宋体"/>
          <w:kern w:val="0"/>
        </w:rPr>
      </w:pPr>
      <w:r>
        <w:rPr>
          <w:rFonts w:ascii="Times New Roman" w:eastAsia="宋体" w:hAnsi="宋体"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．推免生一等奖学金奖励教育部</w:t>
      </w:r>
      <w:r>
        <w:rPr>
          <w:rFonts w:ascii="Times New Roman" w:eastAsia="宋体" w:hAnsi="宋体" w:cs="宋体" w:hint="eastAsia"/>
          <w:kern w:val="0"/>
          <w:sz w:val="24"/>
          <w:szCs w:val="24"/>
          <w:lang w:bidi="ar"/>
        </w:rPr>
        <w:t>“一流大学”建设高校和“一流学科”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建设项目高校的推免生；二等奖学金奖励其他推免生。</w:t>
      </w:r>
    </w:p>
    <w:p w:rsidR="00C92EA8" w:rsidRDefault="00C92EA8" w:rsidP="00C92EA8">
      <w:pPr>
        <w:spacing w:line="400" w:lineRule="exact"/>
        <w:ind w:firstLine="480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．优研计划奖学金奖励对象以西安石油大学</w:t>
      </w:r>
      <w:r>
        <w:rPr>
          <w:rFonts w:ascii="Times New Roman" w:eastAsia="宋体" w:hAnsi="宋体" w:cs="宋体" w:hint="eastAsia"/>
          <w:kern w:val="0"/>
          <w:sz w:val="24"/>
          <w:szCs w:val="24"/>
          <w:lang w:bidi="ar"/>
        </w:rPr>
        <w:t>“优秀硕士研究生生源选拔计划”管理办法文件为准。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．其他一年级新生一等奖学金奖励拥有硕士授权学科、类别（领域）高校毕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lastRenderedPageBreak/>
        <w:t>业的一志愿考生；教育部</w:t>
      </w:r>
      <w:r>
        <w:rPr>
          <w:rFonts w:ascii="Times New Roman" w:eastAsia="宋体" w:hAnsi="宋体" w:cs="宋体" w:hint="eastAsia"/>
          <w:kern w:val="0"/>
          <w:sz w:val="24"/>
          <w:szCs w:val="24"/>
          <w:lang w:bidi="ar"/>
        </w:rPr>
        <w:t>“一流大学”建设高校和“一流学科”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建设项目高校的调剂生。二等奖学金奖励其他一志愿考生；拥有硕士授权学科、类别（领域）高校毕业的调剂考生。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jc w:val="left"/>
        <w:rPr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第十一条</w:t>
      </w:r>
      <w:r>
        <w:rPr>
          <w:rFonts w:ascii="Times New Roman" w:eastAsia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研究生有下列情况之一者，不能参加学业奖学金评定：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．违反国家法律法规受到处罚者；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．在提交的申请资料中，提供不实信息或隐瞒不利信息者；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．在科研工作和学习实践中，造成重大责任事故及损失者；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．考试作弊者；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．有学术不端行为者；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．未通过学位论文开题论证或中期考核者；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．未完成学籍注册者；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．欠缴学费者；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jc w:val="left"/>
        <w:rPr>
          <w:kern w:val="0"/>
        </w:rPr>
      </w:pPr>
      <w:r>
        <w:rPr>
          <w:rFonts w:ascii="Times New Roman" w:eastAsia="宋体"/>
          <w:kern w:val="0"/>
          <w:sz w:val="24"/>
          <w:szCs w:val="24"/>
          <w:lang w:bidi="ar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．其他违反校规校纪受纪律处分以及有不诚信记录者。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4"/>
        <w:rPr>
          <w:rFonts w:hAnsi="宋体"/>
          <w:kern w:val="0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第十六条</w:t>
      </w:r>
      <w:r>
        <w:rPr>
          <w:rFonts w:ascii="Times New Roman" w:eastAsia="宋体" w:hAnsi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对隐瞒真实情况、弄虚作假的研究生，一经查实，取消其学业奖学金参评资格；已发放奖励的取消其荣誉称号，并追回荣誉证书及学业奖学金。同时记入研究生不诚信档案，并按《西安石油大学学生违纪处分规定》相关条款处理。</w:t>
      </w:r>
    </w:p>
    <w:p w:rsidR="00C92EA8" w:rsidRDefault="00C92EA8" w:rsidP="00C92EA8">
      <w:pPr>
        <w:autoSpaceDE w:val="0"/>
        <w:autoSpaceDN w:val="0"/>
        <w:adjustRightInd w:val="0"/>
        <w:spacing w:line="400" w:lineRule="exact"/>
        <w:ind w:firstLineChars="200" w:firstLine="472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C92EA8" w:rsidRDefault="00C92EA8" w:rsidP="00C92EA8">
      <w:pPr>
        <w:spacing w:line="560" w:lineRule="exact"/>
        <w:jc w:val="left"/>
        <w:rPr>
          <w:rFonts w:ascii="黑体" w:eastAsia="黑体" w:hAnsi="黑体" w:cs="仿宋_GB2312"/>
          <w:spacing w:val="0"/>
          <w:sz w:val="24"/>
          <w:szCs w:val="24"/>
        </w:rPr>
      </w:pPr>
    </w:p>
    <w:p w:rsidR="009B342F" w:rsidRDefault="009B342F" w:rsidP="00C92EA8"/>
    <w:sectPr w:rsidR="009B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D8" w:rsidRDefault="00923DD8" w:rsidP="00C92EA8">
      <w:r>
        <w:separator/>
      </w:r>
    </w:p>
  </w:endnote>
  <w:endnote w:type="continuationSeparator" w:id="0">
    <w:p w:rsidR="00923DD8" w:rsidRDefault="00923DD8" w:rsidP="00C9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D8" w:rsidRDefault="00923DD8" w:rsidP="00C92EA8">
      <w:r>
        <w:separator/>
      </w:r>
    </w:p>
  </w:footnote>
  <w:footnote w:type="continuationSeparator" w:id="0">
    <w:p w:rsidR="00923DD8" w:rsidRDefault="00923DD8" w:rsidP="00C9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37"/>
    <w:rsid w:val="001D4637"/>
    <w:rsid w:val="0071304B"/>
    <w:rsid w:val="00923DD8"/>
    <w:rsid w:val="009B342F"/>
    <w:rsid w:val="00C92EA8"/>
    <w:rsid w:val="00F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C1B2"/>
  <w15:chartTrackingRefBased/>
  <w15:docId w15:val="{DC007AAC-B11A-4FDE-A796-9F88522B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A8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sasa</cp:lastModifiedBy>
  <cp:revision>3</cp:revision>
  <dcterms:created xsi:type="dcterms:W3CDTF">2018-10-16T10:51:00Z</dcterms:created>
  <dcterms:modified xsi:type="dcterms:W3CDTF">2019-10-14T09:43:00Z</dcterms:modified>
</cp:coreProperties>
</file>